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EF74F5" w:rsidRDefault="00A35835" w:rsidP="00EF74F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EF74F5">
        <w:rPr>
          <w:rFonts w:ascii="Noor_Badr" w:hAnsi="Noor_Badr" w:cs="Noor_Badr"/>
          <w:sz w:val="32"/>
          <w:szCs w:val="32"/>
          <w:rtl/>
          <w:lang w:bidi="fa-IR"/>
        </w:rPr>
        <w:t>خارج اصول-جلسه سی و ششم-شنبه10/ 9/ 97</w:t>
      </w:r>
    </w:p>
    <w:p w:rsidR="003A6D0D" w:rsidRPr="00EF74F5" w:rsidRDefault="003A6D0D" w:rsidP="00EF74F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F74F5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A35835" w:rsidRPr="00EF74F5" w:rsidRDefault="003A6D0D" w:rsidP="00EF74F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F74F5">
        <w:rPr>
          <w:rFonts w:ascii="Noor_Badr" w:hAnsi="Noor_Badr" w:cs="Noor_Badr"/>
          <w:sz w:val="32"/>
          <w:szCs w:val="32"/>
          <w:rtl/>
          <w:lang w:bidi="fa-IR"/>
        </w:rPr>
        <w:t>و الاحتكار مطية النصب</w:t>
      </w:r>
    </w:p>
    <w:p w:rsidR="003A6D0D" w:rsidRPr="00EF74F5" w:rsidRDefault="003A6D0D" w:rsidP="00EF74F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F74F5">
        <w:rPr>
          <w:rFonts w:ascii="Noor_Badr" w:hAnsi="Noor_Badr" w:cs="Noor_Badr"/>
          <w:sz w:val="32"/>
          <w:szCs w:val="32"/>
          <w:rtl/>
          <w:lang w:bidi="fa-IR"/>
        </w:rPr>
        <w:t>مطیة: مرکب-نَصَب: سختی،خشکسالی</w:t>
      </w:r>
    </w:p>
    <w:p w:rsidR="003A6D0D" w:rsidRPr="00EF74F5" w:rsidRDefault="003A6D0D" w:rsidP="00EF74F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F74F5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196B7D" w:rsidRPr="00EF74F5" w:rsidRDefault="00196B7D" w:rsidP="00EF74F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F74F5">
        <w:rPr>
          <w:rFonts w:ascii="Noor_Badr" w:hAnsi="Noor_Badr" w:cs="Noor_Badr"/>
          <w:sz w:val="32"/>
          <w:szCs w:val="32"/>
          <w:rtl/>
          <w:lang w:bidi="fa-IR"/>
        </w:rPr>
        <w:t>کلام در فرمایش محقق عراقی بود که فرمود بین آیه وضو و روایات تیمم تنافی است.</w:t>
      </w:r>
    </w:p>
    <w:p w:rsidR="00196B7D" w:rsidRPr="00EF74F5" w:rsidRDefault="00196B7D" w:rsidP="00EF74F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F74F5">
        <w:rPr>
          <w:rFonts w:ascii="Noor_Badr" w:hAnsi="Noor_Badr" w:cs="Noor_Badr"/>
          <w:sz w:val="32"/>
          <w:szCs w:val="32"/>
          <w:rtl/>
          <w:lang w:bidi="fa-IR"/>
        </w:rPr>
        <w:t>نقد مطالب محقق عراقی:</w:t>
      </w:r>
    </w:p>
    <w:p w:rsidR="00196B7D" w:rsidRPr="00EF74F5" w:rsidRDefault="00196B7D" w:rsidP="00EF74F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F74F5">
        <w:rPr>
          <w:rFonts w:ascii="Noor_Badr" w:hAnsi="Noor_Badr" w:cs="Noor_Badr"/>
          <w:sz w:val="32"/>
          <w:szCs w:val="32"/>
          <w:rtl/>
          <w:lang w:bidi="fa-IR"/>
        </w:rPr>
        <w:t>ایشان بین روایاتی مانند"التراب احد الطهورین" و بین آیه</w:t>
      </w:r>
      <w:r w:rsidR="00754C0E"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ی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وضو</w:t>
      </w:r>
      <w:r w:rsidR="00525EFB" w:rsidRPr="00EF74F5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>، تعارض و تنافی تصور کرده است به اینکه روایات اطلاق دارند و اطلاق روایات با اطلاق آیه</w:t>
      </w:r>
      <w:r w:rsidR="00754C0E"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ی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وضو م</w:t>
      </w:r>
      <w:r w:rsidR="004D3F26" w:rsidRPr="00EF74F5">
        <w:rPr>
          <w:rFonts w:ascii="Noor_Badr" w:hAnsi="Noor_Badr" w:cs="Noor_Badr"/>
          <w:sz w:val="32"/>
          <w:szCs w:val="32"/>
          <w:rtl/>
          <w:lang w:bidi="fa-IR"/>
        </w:rPr>
        <w:t>ن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افات </w:t>
      </w:r>
      <w:r w:rsidR="006E495B" w:rsidRPr="00EF74F5">
        <w:rPr>
          <w:rFonts w:ascii="Noor_Badr" w:hAnsi="Noor_Badr" w:cs="Noor_Badr"/>
          <w:sz w:val="32"/>
          <w:szCs w:val="32"/>
          <w:rtl/>
          <w:lang w:bidi="fa-IR"/>
        </w:rPr>
        <w:t>دارد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زیرا آیه می گوید</w:t>
      </w:r>
      <w:r w:rsidR="00553816" w:rsidRPr="00EF74F5">
        <w:rPr>
          <w:rFonts w:ascii="Noor_Badr" w:hAnsi="Noor_Badr" w:cs="Noor_Badr"/>
          <w:sz w:val="32"/>
          <w:szCs w:val="32"/>
          <w:rtl/>
          <w:lang w:bidi="fa-IR"/>
        </w:rPr>
        <w:t>: "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>وضو مصداق واحد و تنها قید ماموربه در فرض اختیار است و بدل ندارد تا وضو و تیمم دو مصداق برای جامع ماموربه باشند</w:t>
      </w:r>
      <w:r w:rsidR="00553816" w:rsidRPr="00EF74F5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و برای ازبین بر</w:t>
      </w:r>
      <w:r w:rsidR="00553816"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دن تنافی و تعارض 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>از حجیت ظهور دلیل ت</w:t>
      </w:r>
      <w:r w:rsidR="00553816" w:rsidRPr="00EF74F5">
        <w:rPr>
          <w:rFonts w:ascii="Noor_Badr" w:hAnsi="Noor_Badr" w:cs="Noor_Badr"/>
          <w:sz w:val="32"/>
          <w:szCs w:val="32"/>
          <w:rtl/>
          <w:lang w:bidi="fa-IR"/>
        </w:rPr>
        <w:t>یمم رفع ید می کنیم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و می گوییم تیمم</w:t>
      </w:r>
      <w:r w:rsidR="00553816" w:rsidRPr="00EF74F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تمام مصلحت وضو را ندارد و این رفع ید بخاطر عمل به آیه وضو می باشد لکن اصل ظهور روایات باقی است.</w:t>
      </w:r>
    </w:p>
    <w:p w:rsidR="0023055D" w:rsidRPr="00EF74F5" w:rsidRDefault="0023055D" w:rsidP="00EF74F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F74F5">
        <w:rPr>
          <w:rFonts w:ascii="Noor_Badr" w:hAnsi="Noor_Badr" w:cs="Noor_Badr"/>
          <w:sz w:val="32"/>
          <w:szCs w:val="32"/>
          <w:rtl/>
          <w:lang w:bidi="fa-IR"/>
        </w:rPr>
        <w:t>ایشان در ادامه می فرماید باید از حجیت</w:t>
      </w:r>
      <w:r w:rsidR="00C24C81"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ظهور رفع ید کرد نه از خود ظهور 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لذا می فرماید: کسانی که می گویند باید از خود ظهور رفع ید کرد نه از حجیت ظهور، استدلال شان این است که ظهور اطلاقی 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lastRenderedPageBreak/>
        <w:t>در روایات</w:t>
      </w:r>
      <w:r w:rsidR="00142F1D" w:rsidRPr="00EF74F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متوقف بر عدم ورود بیان بر خلاف آن ظهور می باشد</w:t>
      </w:r>
      <w:r w:rsidR="00C24C81" w:rsidRPr="00EF74F5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در حالیکه ظهور وضعی آیه</w:t>
      </w:r>
      <w:r w:rsidR="00C24C81" w:rsidRPr="00EF74F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صلاحیت بیان بودن را دارد و با وجود این ظهور، اصل ظهور اطلاقی</w:t>
      </w:r>
      <w:r w:rsidR="00142F1D"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برای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روایات منتفی است.</w:t>
      </w:r>
    </w:p>
    <w:p w:rsidR="00425BD8" w:rsidRPr="00EF74F5" w:rsidRDefault="00425BD8" w:rsidP="00EF74F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F74F5">
        <w:rPr>
          <w:rFonts w:ascii="Noor_Badr" w:hAnsi="Noor_Badr" w:cs="Noor_Badr"/>
          <w:sz w:val="32"/>
          <w:szCs w:val="32"/>
          <w:rtl/>
          <w:lang w:bidi="fa-IR"/>
        </w:rPr>
        <w:t>ایشان می فرماید</w:t>
      </w:r>
      <w:r w:rsidR="00C24C81" w:rsidRPr="00EF74F5">
        <w:rPr>
          <w:rFonts w:ascii="Noor_Badr" w:hAnsi="Noor_Badr" w:cs="Noor_Badr"/>
          <w:sz w:val="32"/>
          <w:szCs w:val="32"/>
          <w:rtl/>
          <w:lang w:bidi="fa-IR"/>
        </w:rPr>
        <w:t>: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این توهم باطل است زیرا عدم بیانی که از مقدمات حکمت است، عدم بیان متصل است </w:t>
      </w:r>
      <w:r w:rsidR="00C24C81" w:rsidRPr="00EF74F5">
        <w:rPr>
          <w:rFonts w:ascii="Noor_Badr" w:hAnsi="Noor_Badr" w:cs="Noor_Badr"/>
          <w:sz w:val="32"/>
          <w:szCs w:val="32"/>
          <w:rtl/>
          <w:lang w:bidi="fa-IR"/>
        </w:rPr>
        <w:t>(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>یعنی کلامی که القاء می شود</w:t>
      </w:r>
      <w:r w:rsidR="00C24C81"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باید در خود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عدم بیان داشته</w:t>
      </w:r>
      <w:r w:rsidR="00C24C81"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باشد نه عدم بیان منفصل ، لذا اگر متکلم در کلامش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در مقام تخاطب قرینه ای نیاورد(مثل روایات مانحن فیه) ظهور اط</w:t>
      </w:r>
      <w:r w:rsidR="00373E76" w:rsidRPr="00EF74F5">
        <w:rPr>
          <w:rFonts w:ascii="Noor_Badr" w:hAnsi="Noor_Badr" w:cs="Noor_Badr"/>
          <w:sz w:val="32"/>
          <w:szCs w:val="32"/>
          <w:rtl/>
          <w:lang w:bidi="fa-IR"/>
        </w:rPr>
        <w:t>لاقی دارد و با این ظهور، تنافی مذکور بین آیه و رویات برقرار</w:t>
      </w:r>
      <w:r w:rsidR="00347DD2"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می باشد زیرا آیه ی وضو قر</w:t>
      </w:r>
      <w:r w:rsidR="00373E76" w:rsidRPr="00EF74F5">
        <w:rPr>
          <w:rFonts w:ascii="Noor_Badr" w:hAnsi="Noor_Badr" w:cs="Noor_Badr"/>
          <w:sz w:val="32"/>
          <w:szCs w:val="32"/>
          <w:rtl/>
          <w:lang w:bidi="fa-IR"/>
        </w:rPr>
        <w:t>ینه متصل بر</w:t>
      </w:r>
      <w:r w:rsidR="00347DD2" w:rsidRPr="00EF74F5">
        <w:rPr>
          <w:rFonts w:ascii="Noor_Badr" w:hAnsi="Noor_Badr" w:cs="Noor_Badr"/>
          <w:sz w:val="32"/>
          <w:szCs w:val="32"/>
          <w:rtl/>
          <w:lang w:bidi="fa-IR"/>
        </w:rPr>
        <w:t>ای این روایات  نیست؛</w:t>
      </w:r>
      <w:r w:rsidR="00373E76"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با وجود تنافی باید یکی از این دو ظهور را بر دیگری مقدم کنیم و چون ظهور آیه وضو در مقام حجیت اقوی است، از حجیت ظهور روایات رفع ید می کنیم نه اینکه از خود ظهور رفع ید کنیم و در نتیجه تیمم تمام مصلحت وضو را ندارد</w:t>
      </w:r>
      <w:r w:rsidR="008B6532"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373E76" w:rsidRPr="00EF74F5">
        <w:rPr>
          <w:rFonts w:ascii="Noor_Badr" w:hAnsi="Noor_Badr" w:cs="Noor_Badr"/>
          <w:sz w:val="32"/>
          <w:szCs w:val="32"/>
          <w:rtl/>
          <w:lang w:bidi="fa-IR"/>
        </w:rPr>
        <w:t>و این فتوا متوقف بر رفع ید از حجیت ظهور است نه خود ظهور</w:t>
      </w:r>
      <w:r w:rsidR="00347DD2" w:rsidRPr="00EF74F5">
        <w:rPr>
          <w:rFonts w:ascii="Noor_Badr" w:hAnsi="Noor_Badr" w:cs="Noor_Badr"/>
          <w:sz w:val="32"/>
          <w:szCs w:val="32"/>
          <w:rtl/>
          <w:lang w:bidi="fa-IR"/>
        </w:rPr>
        <w:t>.</w:t>
      </w:r>
      <w:r w:rsidR="00373E76" w:rsidRPr="00EF74F5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2"/>
      </w:r>
    </w:p>
    <w:p w:rsidR="008B6532" w:rsidRPr="00EF74F5" w:rsidRDefault="008B6532" w:rsidP="00EF74F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F74F5">
        <w:rPr>
          <w:rFonts w:ascii="Noor_Badr" w:hAnsi="Noor_Badr" w:cs="Noor_Badr"/>
          <w:sz w:val="32"/>
          <w:szCs w:val="32"/>
          <w:rtl/>
          <w:lang w:bidi="fa-IR"/>
        </w:rPr>
        <w:t>استاد: فرمایش محقق عراقی  بخاطر عدم توجه و عدم اعتماد به آیه و روایات این باب است.</w:t>
      </w:r>
    </w:p>
    <w:p w:rsidR="00425BD8" w:rsidRPr="00EF74F5" w:rsidRDefault="008B6532" w:rsidP="00EF74F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F74F5">
        <w:rPr>
          <w:rFonts w:ascii="Noor_Badr" w:hAnsi="Noor_Badr" w:cs="Noor_Badr"/>
          <w:sz w:val="32"/>
          <w:szCs w:val="32"/>
          <w:rtl/>
          <w:lang w:bidi="fa-IR"/>
        </w:rPr>
        <w:t>روایات مثل صحیحه زراره</w:t>
      </w:r>
    </w:p>
    <w:p w:rsidR="008B6532" w:rsidRPr="00EF74F5" w:rsidRDefault="008B6532" w:rsidP="00EF74F5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EF74F5">
        <w:rPr>
          <w:rFonts w:ascii="Noor_Badr" w:hAnsi="Noor_Badr" w:cs="Noor_Badr"/>
          <w:sz w:val="32"/>
          <w:szCs w:val="32"/>
          <w:rtl/>
          <w:lang w:bidi="fa-IR"/>
        </w:rPr>
        <w:t>3814- 1-مُحَمَّدُ بْنُ يَعْقُوبَ عَنْ عَلِيِّ بْنِ إِبْرَاهِيمَ عَنْ أَبِيهِ عَنِ ابْنِ أَبِي عُمَيْرٍ عَنِ ابْنِ أُذَيْنَةَ عَنْ زُرَارَةَ عَنْ أَحَدِهِمَا ع قَالَ: إِذَا لَمْ يَجِدِ الْمُسَافِرُ الْمَاءَ فَلْيَطْلُبْ مَا دَامَ فِي الْوَقْتِ- فَإِذَا خَافَ أَنْ يَفُوتَهُ الْوَقْتُ- فَلْيَتَيَمَّمْ وَ لْيُصَلِّ الْحَدِيثَ.</w:t>
      </w:r>
      <w:r w:rsidR="00111E8D" w:rsidRPr="00EF74F5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3"/>
      </w:r>
    </w:p>
    <w:p w:rsidR="008B6532" w:rsidRPr="00EF74F5" w:rsidRDefault="008B6532" w:rsidP="00EF74F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525306" w:rsidRPr="00EF74F5" w:rsidRDefault="00FD1736" w:rsidP="00EF74F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F74F5">
        <w:rPr>
          <w:rFonts w:ascii="Noor_Badr" w:hAnsi="Noor_Badr" w:cs="Noor_Badr"/>
          <w:sz w:val="32"/>
          <w:szCs w:val="32"/>
          <w:rtl/>
          <w:lang w:bidi="fa-IR"/>
        </w:rPr>
        <w:t>ا</w:t>
      </w:r>
      <w:r w:rsidR="00B85D46" w:rsidRPr="00EF74F5">
        <w:rPr>
          <w:rFonts w:ascii="Noor_Badr" w:hAnsi="Noor_Badr" w:cs="Noor_Badr"/>
          <w:sz w:val="32"/>
          <w:szCs w:val="32"/>
          <w:rtl/>
          <w:lang w:bidi="fa-IR"/>
        </w:rPr>
        <w:t>گر محقق عراقی به امثال این روایت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و صدر و ذیل آیه</w:t>
      </w:r>
      <w:r w:rsidR="00C07164"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ی</w:t>
      </w:r>
      <w:r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وضو توجه می فر</w:t>
      </w:r>
      <w:r w:rsidR="00B85D46" w:rsidRPr="00EF74F5">
        <w:rPr>
          <w:rFonts w:ascii="Noor_Badr" w:hAnsi="Noor_Badr" w:cs="Noor_Badr"/>
          <w:sz w:val="32"/>
          <w:szCs w:val="32"/>
          <w:rtl/>
          <w:lang w:bidi="fa-IR"/>
        </w:rPr>
        <w:t>مود، به این فرمایش ملتزم نمی شد زیرا اصل در حکم شرعی اولاوبالذات از جهت نقلی قرآن است و روایات در</w:t>
      </w:r>
      <w:r w:rsidR="00525306"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مقام</w:t>
      </w:r>
      <w:r w:rsidR="00B85D46"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توضیح </w:t>
      </w:r>
      <w:r w:rsidR="00B9556A" w:rsidRPr="00EF74F5">
        <w:rPr>
          <w:rFonts w:ascii="Noor_Badr" w:hAnsi="Noor_Badr" w:cs="Noor_Badr"/>
          <w:sz w:val="32"/>
          <w:szCs w:val="32"/>
          <w:rtl/>
          <w:lang w:bidi="fa-IR"/>
        </w:rPr>
        <w:t>قرآن وارد شده</w:t>
      </w:r>
      <w:r w:rsidR="00525306"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اند و هرگاه این روایات بعنوان مبیّن و قرینه برای آیه قرار گیرند، مشخص می شود که این روایات، عدلِ ذیلِ آیه </w:t>
      </w:r>
      <w:r w:rsidR="003C0E83" w:rsidRPr="00EF74F5">
        <w:rPr>
          <w:rFonts w:ascii="Noor_Badr" w:hAnsi="Noor_Badr" w:cs="Noor_Badr"/>
          <w:sz w:val="32"/>
          <w:szCs w:val="32"/>
          <w:rtl/>
          <w:lang w:bidi="fa-IR"/>
        </w:rPr>
        <w:t>وضو هستند و با ذیل آیه همسو</w:t>
      </w:r>
      <w:r w:rsidR="00525306" w:rsidRPr="00EF74F5">
        <w:rPr>
          <w:rFonts w:ascii="Noor_Badr" w:hAnsi="Noor_Badr" w:cs="Noor_Badr"/>
          <w:sz w:val="32"/>
          <w:szCs w:val="32"/>
          <w:rtl/>
          <w:lang w:bidi="fa-IR"/>
        </w:rPr>
        <w:t xml:space="preserve"> بوده و مح</w:t>
      </w:r>
      <w:r w:rsidR="003C0E83" w:rsidRPr="00EF74F5">
        <w:rPr>
          <w:rFonts w:ascii="Noor_Badr" w:hAnsi="Noor_Badr" w:cs="Noor_Badr"/>
          <w:sz w:val="32"/>
          <w:szCs w:val="32"/>
          <w:rtl/>
          <w:lang w:bidi="fa-IR"/>
        </w:rPr>
        <w:t>توای آن را تو</w:t>
      </w:r>
      <w:r w:rsidR="00525306" w:rsidRPr="00EF74F5">
        <w:rPr>
          <w:rFonts w:ascii="Noor_Badr" w:hAnsi="Noor_Badr" w:cs="Noor_Badr"/>
          <w:sz w:val="32"/>
          <w:szCs w:val="32"/>
          <w:rtl/>
          <w:lang w:bidi="fa-IR"/>
        </w:rPr>
        <w:t>ضیح می دهند و این آیه نسبت به اینکه مصلحت نماز به جامع طهارت تعلق گرفته و تیمم تمام مصلحت وضو را دارد، ظهوری ندارد.</w:t>
      </w:r>
    </w:p>
    <w:p w:rsidR="00525EFB" w:rsidRPr="00EF74F5" w:rsidRDefault="00525EFB" w:rsidP="00EF74F5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EF74F5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525EFB" w:rsidRPr="00EF74F5" w:rsidSect="00EF74F5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01F" w:rsidRDefault="0075501F" w:rsidP="00373E76">
      <w:pPr>
        <w:spacing w:after="0" w:line="240" w:lineRule="auto"/>
      </w:pPr>
      <w:r>
        <w:separator/>
      </w:r>
    </w:p>
  </w:endnote>
  <w:endnote w:type="continuationSeparator" w:id="0">
    <w:p w:rsidR="0075501F" w:rsidRDefault="0075501F" w:rsidP="00373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01F" w:rsidRDefault="0075501F" w:rsidP="00373E76">
      <w:pPr>
        <w:spacing w:after="0" w:line="240" w:lineRule="auto"/>
      </w:pPr>
      <w:r>
        <w:separator/>
      </w:r>
    </w:p>
  </w:footnote>
  <w:footnote w:type="continuationSeparator" w:id="0">
    <w:p w:rsidR="0075501F" w:rsidRDefault="0075501F" w:rsidP="00373E76">
      <w:pPr>
        <w:spacing w:after="0" w:line="240" w:lineRule="auto"/>
      </w:pPr>
      <w:r>
        <w:continuationSeparator/>
      </w:r>
    </w:p>
  </w:footnote>
  <w:footnote w:id="1">
    <w:p w:rsidR="00525EFB" w:rsidRDefault="00525EFB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إِذا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قُمْتُمْ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إِلَى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الصَّلاةِ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فَاغْسِلُوا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وُجُوهَكُمْ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أَيْدِيَكُمْ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إِلَى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الْمَرافِقِ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امْسَحُوا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بِرُؤُسِكُمْ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وَ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أَرْجُلَكُمْ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إِلَى</w:t>
      </w:r>
      <w:r w:rsidRPr="002200C4">
        <w:rPr>
          <w:sz w:val="24"/>
          <w:szCs w:val="24"/>
          <w:rtl/>
          <w:lang w:bidi="fa-IR"/>
        </w:rPr>
        <w:t xml:space="preserve"> </w:t>
      </w:r>
      <w:r w:rsidRPr="002200C4">
        <w:rPr>
          <w:rFonts w:hint="cs"/>
          <w:sz w:val="24"/>
          <w:szCs w:val="24"/>
          <w:rtl/>
          <w:lang w:bidi="fa-IR"/>
        </w:rPr>
        <w:t>الْكَعْبَيْنِ</w:t>
      </w:r>
    </w:p>
  </w:footnote>
  <w:footnote w:id="2">
    <w:p w:rsidR="00373E76" w:rsidRPr="00373E76" w:rsidRDefault="00373E76">
      <w:pPr>
        <w:pStyle w:val="FootnoteText"/>
        <w:rPr>
          <w:sz w:val="24"/>
          <w:szCs w:val="24"/>
          <w:rtl/>
          <w:lang w:bidi="fa-IR"/>
        </w:rPr>
      </w:pPr>
      <w:r w:rsidRPr="00373E76">
        <w:rPr>
          <w:rStyle w:val="FootnoteReference"/>
          <w:sz w:val="24"/>
          <w:szCs w:val="24"/>
        </w:rPr>
        <w:footnoteRef/>
      </w:r>
      <w:r w:rsidRPr="00373E76">
        <w:rPr>
          <w:sz w:val="24"/>
          <w:szCs w:val="24"/>
        </w:rPr>
        <w:t xml:space="preserve"> </w:t>
      </w:r>
      <w:r w:rsidRPr="00373E76">
        <w:rPr>
          <w:rFonts w:hint="cs"/>
          <w:sz w:val="24"/>
          <w:szCs w:val="24"/>
          <w:rtl/>
          <w:lang w:bidi="fa-IR"/>
        </w:rPr>
        <w:t>نهایة الافکار ج1 ص235</w:t>
      </w:r>
    </w:p>
  </w:footnote>
  <w:footnote w:id="3">
    <w:p w:rsidR="00111E8D" w:rsidRPr="00111E8D" w:rsidRDefault="00111E8D" w:rsidP="00111E8D">
      <w:pPr>
        <w:pStyle w:val="FootnoteText"/>
        <w:rPr>
          <w:sz w:val="24"/>
          <w:szCs w:val="24"/>
        </w:rPr>
      </w:pPr>
      <w:r w:rsidRPr="00111E8D">
        <w:rPr>
          <w:rStyle w:val="FootnoteReference"/>
          <w:sz w:val="24"/>
          <w:szCs w:val="24"/>
        </w:rPr>
        <w:footnoteRef/>
      </w:r>
      <w:r w:rsidRPr="00111E8D">
        <w:rPr>
          <w:sz w:val="24"/>
          <w:szCs w:val="24"/>
        </w:rPr>
        <w:t xml:space="preserve"> </w:t>
      </w:r>
      <w:r w:rsidRPr="00111E8D">
        <w:rPr>
          <w:rFonts w:hint="cs"/>
          <w:sz w:val="24"/>
          <w:szCs w:val="24"/>
          <w:rtl/>
          <w:lang w:bidi="fa-IR"/>
        </w:rPr>
        <w:t>وسائل الشيعة، ج‌3، ص: 341‌</w:t>
      </w:r>
    </w:p>
    <w:p w:rsidR="00111E8D" w:rsidRPr="00111E8D" w:rsidRDefault="00111E8D" w:rsidP="00111E8D">
      <w:pPr>
        <w:pStyle w:val="FootnoteText"/>
        <w:rPr>
          <w:sz w:val="26"/>
          <w:szCs w:val="26"/>
          <w:rtl/>
          <w:lang w:bidi="fa-IR"/>
        </w:rPr>
      </w:pPr>
      <w:r w:rsidRPr="00111E8D">
        <w:rPr>
          <w:rFonts w:hint="cs"/>
          <w:sz w:val="26"/>
          <w:szCs w:val="26"/>
          <w:rtl/>
          <w:lang w:bidi="fa-IR"/>
        </w:rPr>
        <w:t>أَبْوَابُ التَّيَمُّمِ</w:t>
      </w:r>
      <w:r>
        <w:rPr>
          <w:rFonts w:hint="cs"/>
          <w:sz w:val="26"/>
          <w:szCs w:val="26"/>
          <w:rtl/>
        </w:rPr>
        <w:t>-</w:t>
      </w:r>
      <w:r>
        <w:rPr>
          <w:rFonts w:hint="cs"/>
          <w:sz w:val="24"/>
          <w:szCs w:val="24"/>
          <w:rtl/>
          <w:lang w:bidi="fa-IR"/>
        </w:rPr>
        <w:t>1-</w:t>
      </w:r>
      <w:r w:rsidRPr="00111E8D">
        <w:rPr>
          <w:rFonts w:hint="cs"/>
          <w:sz w:val="24"/>
          <w:szCs w:val="24"/>
          <w:rtl/>
          <w:lang w:bidi="fa-IR"/>
        </w:rPr>
        <w:t>بَابُ وُجُوبِ طَلَبِ الْمَاءِ مَعَ الْإِمْكَانِ غَلْوَةَ سَهْمٍ فِي الْحَزْنَةِ وَ غَلْوَةَ سَهْمَيْنِ فِي السَّهْلَةِ</w:t>
      </w:r>
      <w:r w:rsidRPr="00111E8D">
        <w:rPr>
          <w:rFonts w:hint="cs"/>
          <w:sz w:val="24"/>
          <w:szCs w:val="24"/>
        </w:rPr>
        <w:t>‌</w:t>
      </w:r>
    </w:p>
    <w:p w:rsidR="00111E8D" w:rsidRDefault="00111E8D">
      <w:pPr>
        <w:pStyle w:val="FootnoteText"/>
        <w:rPr>
          <w:rtl/>
          <w:lang w:bidi="fa-IR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835"/>
    <w:rsid w:val="00111E8D"/>
    <w:rsid w:val="00142F1D"/>
    <w:rsid w:val="00196B7D"/>
    <w:rsid w:val="0023055D"/>
    <w:rsid w:val="00347DD2"/>
    <w:rsid w:val="00373E76"/>
    <w:rsid w:val="003A6D0D"/>
    <w:rsid w:val="003C0E83"/>
    <w:rsid w:val="00425BD8"/>
    <w:rsid w:val="004D3F26"/>
    <w:rsid w:val="00525306"/>
    <w:rsid w:val="00525EFB"/>
    <w:rsid w:val="00553816"/>
    <w:rsid w:val="005C7205"/>
    <w:rsid w:val="006E495B"/>
    <w:rsid w:val="00754C0E"/>
    <w:rsid w:val="0075501F"/>
    <w:rsid w:val="00785C24"/>
    <w:rsid w:val="00825CDE"/>
    <w:rsid w:val="008B6532"/>
    <w:rsid w:val="00A35835"/>
    <w:rsid w:val="00B85D46"/>
    <w:rsid w:val="00B9556A"/>
    <w:rsid w:val="00C07164"/>
    <w:rsid w:val="00C24C81"/>
    <w:rsid w:val="00EF74F5"/>
    <w:rsid w:val="00FD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73E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3E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73E76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111E8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73E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3E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73E76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111E8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7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19</cp:revision>
  <dcterms:created xsi:type="dcterms:W3CDTF">2018-12-27T03:34:00Z</dcterms:created>
  <dcterms:modified xsi:type="dcterms:W3CDTF">2020-08-23T04:07:00Z</dcterms:modified>
</cp:coreProperties>
</file>